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96" w:rsidRPr="008025B6" w:rsidRDefault="00401596" w:rsidP="0040159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025B6">
        <w:rPr>
          <w:rFonts w:ascii="Times New Roman" w:hAnsi="Times New Roman"/>
          <w:b/>
          <w:bCs/>
          <w:sz w:val="24"/>
          <w:szCs w:val="24"/>
          <w:lang w:val="ro-RO"/>
        </w:rPr>
        <w:t>Anexa nr.18</w:t>
      </w:r>
    </w:p>
    <w:p w:rsidR="00401596" w:rsidRPr="008025B6" w:rsidRDefault="00401596" w:rsidP="00401596">
      <w:pPr>
        <w:pStyle w:val="NoSpacing"/>
        <w:jc w:val="right"/>
        <w:rPr>
          <w:rFonts w:ascii="Times New Roman" w:hAnsi="Times New Roman"/>
          <w:sz w:val="24"/>
          <w:szCs w:val="24"/>
          <w:lang w:val="ro-RO"/>
        </w:rPr>
      </w:pPr>
      <w:r w:rsidRPr="008025B6">
        <w:rPr>
          <w:rFonts w:ascii="Times New Roman" w:hAnsi="Times New Roman"/>
          <w:sz w:val="24"/>
          <w:szCs w:val="24"/>
          <w:lang w:val="ro-RO"/>
        </w:rPr>
        <w:t>la Instrucţiunea privind etapele, termenele, modul</w:t>
      </w:r>
    </w:p>
    <w:p w:rsidR="00401596" w:rsidRPr="008025B6" w:rsidRDefault="00401596" w:rsidP="0040159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025B6">
        <w:rPr>
          <w:rFonts w:ascii="Times New Roman" w:hAnsi="Times New Roman"/>
          <w:sz w:val="24"/>
          <w:szCs w:val="24"/>
          <w:lang w:val="ro-RO"/>
        </w:rPr>
        <w:t>şi procedurile de înregistrare a valorilor mobiliare</w:t>
      </w:r>
    </w:p>
    <w:p w:rsidR="00401596" w:rsidRPr="00E42DD5" w:rsidRDefault="00401596" w:rsidP="00401596">
      <w:pPr>
        <w:pStyle w:val="NoSpacing"/>
        <w:jc w:val="both"/>
        <w:rPr>
          <w:rFonts w:ascii="Times New Roman" w:hAnsi="Times New Roman"/>
          <w:b/>
          <w:bCs/>
          <w:lang w:val="ro-RO"/>
        </w:rPr>
      </w:pPr>
    </w:p>
    <w:p w:rsidR="00401596" w:rsidRPr="00A053D8" w:rsidRDefault="00401596" w:rsidP="00401596">
      <w:pPr>
        <w:pStyle w:val="Heading1"/>
        <w:jc w:val="center"/>
        <w:rPr>
          <w:rFonts w:ascii="Times New Roman" w:hAnsi="Times New Roman" w:cs="Times New Roman"/>
          <w:b/>
          <w:bCs/>
          <w:color w:val="000000"/>
          <w:lang w:val="ro-RO"/>
        </w:rPr>
      </w:pPr>
      <w:r w:rsidRPr="008B53F7">
        <w:rPr>
          <w:rFonts w:ascii="Times New Roman" w:hAnsi="Times New Roman" w:cs="Times New Roman"/>
          <w:b/>
          <w:lang w:val="ro-RO"/>
        </w:rPr>
        <w:t xml:space="preserve">Informații suplimentare </w:t>
      </w:r>
      <w:r w:rsidRPr="00A053D8">
        <w:rPr>
          <w:rFonts w:ascii="Times New Roman" w:hAnsi="Times New Roman" w:cs="Times New Roman"/>
          <w:b/>
          <w:bCs/>
          <w:color w:val="000000"/>
          <w:lang w:val="ro-RO"/>
        </w:rPr>
        <w:t>la</w:t>
      </w:r>
      <w:r w:rsidRPr="008B53F7">
        <w:rPr>
          <w:rFonts w:ascii="Times New Roman" w:hAnsi="Times New Roman" w:cs="Times New Roman"/>
          <w:b/>
          <w:lang w:val="ro-RO"/>
        </w:rPr>
        <w:t xml:space="preserve"> Nota privind valorile mobiliare în cadrul ofertei de instrumente derivate cu privire la acțiunile subiacente</w:t>
      </w:r>
      <w:r w:rsidRPr="00A053D8">
        <w:rPr>
          <w:rFonts w:ascii="Times New Roman" w:hAnsi="Times New Roman" w:cs="Times New Roman"/>
          <w:b/>
          <w:bCs/>
          <w:color w:val="000000"/>
          <w:lang w:val="ro-RO"/>
        </w:rPr>
        <w:t xml:space="preserve"> (care au stat la baza emiterii RDM)</w:t>
      </w:r>
    </w:p>
    <w:p w:rsidR="00401596" w:rsidRPr="00A053D8" w:rsidRDefault="00401596" w:rsidP="00401596">
      <w:pPr>
        <w:widowControl/>
        <w:shd w:val="clear" w:color="auto" w:fill="FFFFFF"/>
        <w:autoSpaceDE/>
        <w:autoSpaceDN/>
        <w:adjustRightInd/>
        <w:spacing w:before="106" w:after="53" w:line="360" w:lineRule="auto"/>
        <w:textAlignment w:val="baseline"/>
        <w:rPr>
          <w:rFonts w:ascii="Times New Roman" w:hAnsi="Times New Roman" w:cs="Times New Roman"/>
          <w:b/>
          <w:bCs/>
          <w:color w:val="44444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683"/>
        <w:gridCol w:w="8559"/>
      </w:tblGrid>
      <w:tr w:rsidR="00401596" w:rsidRPr="00401596" w:rsidTr="00684656">
        <w:trPr>
          <w:trHeight w:val="254"/>
        </w:trPr>
        <w:tc>
          <w:tcPr>
            <w:tcW w:w="703" w:type="dxa"/>
          </w:tcPr>
          <w:p w:rsidR="00401596" w:rsidRPr="00C601D3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05B72">
              <w:rPr>
                <w:rFonts w:ascii="Times New Roman" w:eastAsia="Calibri" w:hAnsi="Times New Roman" w:cs="Times New Roman"/>
                <w:b/>
                <w:lang w:val="ro-RO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8025B6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C601D3">
              <w:rPr>
                <w:rFonts w:ascii="Times New Roman" w:eastAsia="Calibri" w:hAnsi="Times New Roman" w:cs="Times New Roman"/>
                <w:lang w:val="ro-RO"/>
              </w:rPr>
              <w:t>Descrierea acțiunilor subiacente (</w:t>
            </w:r>
            <w:r w:rsidRPr="00C601D3">
              <w:rPr>
                <w:rFonts w:ascii="Times New Roman" w:hAnsi="Times New Roman" w:cs="Times New Roman"/>
                <w:bCs/>
                <w:color w:val="000000"/>
                <w:lang w:val="ro-RO"/>
              </w:rPr>
              <w:t>care au stat la baza emiterii RDM).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O descriere a naturii și categoriei acțiunilor.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3</w:t>
            </w:r>
          </w:p>
        </w:tc>
        <w:tc>
          <w:tcPr>
            <w:tcW w:w="929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Legislația în temeiul căreia au fost sau vor fi create acțiunile subiacente.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4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 xml:space="preserve">Indicarea formei sub care au fost emise acțiunile: titluri </w:t>
            </w:r>
            <w:r w:rsidRPr="00005B72">
              <w:rPr>
                <w:rFonts w:ascii="Times New Roman" w:eastAsia="Calibri" w:hAnsi="Times New Roman" w:cs="Times New Roman"/>
                <w:lang w:val="ro-RO"/>
              </w:rPr>
              <w:t>nominative sau la purtător, fizice sau dematerializate. În ultimul caz, se indică denumirea și adresa entității însărcinate cu efectuarea înregistrărilor necesare.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5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Moneda în care sunt create acțiunile subiacente.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6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C601D3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A053D8">
              <w:rPr>
                <w:rFonts w:ascii="Times New Roman" w:hAnsi="Times New Roman" w:cs="Times New Roman"/>
                <w:lang w:val="ro-RO"/>
              </w:rPr>
              <w:t xml:space="preserve">O descriere a drepturilor conexe </w:t>
            </w:r>
            <w:r w:rsidRPr="00005B72">
              <w:rPr>
                <w:rFonts w:ascii="Times New Roman" w:hAnsi="Times New Roman" w:cs="Times New Roman"/>
                <w:lang w:val="ro-RO"/>
              </w:rPr>
              <w:t>valorilor mobiliare, inclusiv a oricărei restricții care le este aplicabilă, și a modalităților de exercitare a drepturilor în cauză.</w:t>
            </w:r>
          </w:p>
          <w:p w:rsidR="00401596" w:rsidRPr="00C601D3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C601D3">
              <w:rPr>
                <w:rFonts w:ascii="Times New Roman" w:hAnsi="Times New Roman" w:cs="Times New Roman"/>
                <w:lang w:val="ro-RO"/>
              </w:rPr>
              <w:t>a) dreptul la dividende:</w:t>
            </w:r>
          </w:p>
          <w:p w:rsidR="00401596" w:rsidRPr="00C601D3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C601D3">
              <w:rPr>
                <w:rFonts w:ascii="Times New Roman" w:hAnsi="Times New Roman" w:cs="Times New Roman"/>
                <w:lang w:val="ro-RO"/>
              </w:rPr>
              <w:t xml:space="preserve"> data (datele) fixă(e) la care ia naștere acest drept;</w:t>
            </w:r>
          </w:p>
          <w:p w:rsidR="00401596" w:rsidRPr="008025B6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8025B6">
              <w:rPr>
                <w:rFonts w:ascii="Times New Roman" w:hAnsi="Times New Roman" w:cs="Times New Roman"/>
                <w:lang w:val="ro-RO"/>
              </w:rPr>
              <w:t xml:space="preserve"> termenul de prescriere și persoana în favoarea căreia intervine prescrierea;</w:t>
            </w:r>
          </w:p>
          <w:p w:rsidR="00401596" w:rsidRPr="00E42DD5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8025B6">
              <w:rPr>
                <w:rFonts w:ascii="Times New Roman" w:hAnsi="Times New Roman" w:cs="Times New Roman"/>
                <w:lang w:val="ro-RO"/>
              </w:rPr>
              <w:t xml:space="preserve"> restricții aplicabile dividendelor și procedurile aplicabile deținătorilor de titluri nereziden</w:t>
            </w:r>
            <w:r w:rsidRPr="00E42DD5">
              <w:rPr>
                <w:rFonts w:ascii="Times New Roman" w:hAnsi="Times New Roman" w:cs="Times New Roman"/>
                <w:lang w:val="ro-RO"/>
              </w:rPr>
              <w:t>ți;</w:t>
            </w:r>
          </w:p>
          <w:p w:rsidR="00401596" w:rsidRPr="00FE7259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 w:rsidRPr="00FE7259">
              <w:rPr>
                <w:rFonts w:ascii="Times New Roman" w:hAnsi="Times New Roman" w:cs="Times New Roman"/>
                <w:lang w:val="ro-RO"/>
              </w:rPr>
              <w:t xml:space="preserve"> rata sau modul de calcul al dividendelor, frecvența și natura cumulativă sau necumulativă a plății.</w:t>
            </w:r>
          </w:p>
          <w:p w:rsidR="00401596" w:rsidRPr="00A053D8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b) dreptul de vot;</w:t>
            </w:r>
          </w:p>
          <w:p w:rsidR="00401596" w:rsidRPr="00A053D8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c) dreptul preferențial de subscriere la acțiunile din aceeași categorie;</w:t>
            </w:r>
          </w:p>
          <w:p w:rsidR="00401596" w:rsidRPr="00A053D8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d) dreptul de participare la beneficiul emitentului;</w:t>
            </w:r>
          </w:p>
          <w:p w:rsidR="00401596" w:rsidRPr="00A053D8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e) dreptul de participare la repartizarea activelor la excedent în cazul lichidării;</w:t>
            </w:r>
          </w:p>
          <w:p w:rsidR="00401596" w:rsidRPr="00A053D8" w:rsidRDefault="00401596" w:rsidP="00684656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f) clauze de răscumpărare;</w:t>
            </w:r>
          </w:p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g) clauze de convertire.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În cazul unei noi emisiuni, o declarație conținând hotărârile, autorizațiile și aprobările în temeiul cărora au fost sau vor fi create și emise valorile mobiliare și data emisiunii.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8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 xml:space="preserve">Locul și momentul în care acțiunile au fost sau vor </w:t>
            </w:r>
            <w:r w:rsidRPr="00005B72">
              <w:rPr>
                <w:rFonts w:ascii="Times New Roman" w:eastAsia="Calibri" w:hAnsi="Times New Roman" w:cs="Times New Roman"/>
                <w:lang w:val="ro-RO"/>
              </w:rPr>
              <w:t>fi admise la tranzacționare.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9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O descriere a oricărei restricții asupra liberei transferabilități a acțiunilor.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Indicații privind existența oricărei reglementări privind ofertele publice de achiziții obligatorii sau privind retragerea obligatorie și</w:t>
            </w:r>
            <w:r w:rsidRPr="00005B72">
              <w:rPr>
                <w:rFonts w:ascii="Times New Roman" w:eastAsia="Calibri" w:hAnsi="Times New Roman" w:cs="Times New Roman"/>
                <w:lang w:val="ro-RO"/>
              </w:rPr>
              <w:t xml:space="preserve"> răscumpărarea obligatorie aplicabile acțiunilor.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Mențiuni privind ofertele publice de achiziție făcute de terți asupra capitalului emitentului în cursul ultimului exercițiu sau al exercițiului în curs. Trebuie, de asemenea, indicate prețul sau condiț</w:t>
            </w:r>
            <w:r w:rsidRPr="00005B72">
              <w:rPr>
                <w:rFonts w:ascii="Times New Roman" w:eastAsia="Calibri" w:hAnsi="Times New Roman" w:cs="Times New Roman"/>
                <w:lang w:val="ro-RO"/>
              </w:rPr>
              <w:t>iile de schimb și rezultatul acestor oferte.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 xml:space="preserve">Impactul eventualei exercitări a dreptului asupra emitentului acțiunilor subiacente, precum și efectul potențial de </w:t>
            </w:r>
            <w:r w:rsidRPr="00005B72">
              <w:rPr>
                <w:rFonts w:ascii="Times New Roman" w:eastAsia="Calibri" w:hAnsi="Times New Roman" w:cs="Times New Roman"/>
                <w:lang w:val="ro-RO"/>
              </w:rPr>
              <w:t>distribuire pentru acționari.</w:t>
            </w:r>
          </w:p>
        </w:tc>
      </w:tr>
      <w:tr w:rsidR="00401596" w:rsidRPr="00401596" w:rsidTr="00684656">
        <w:tc>
          <w:tcPr>
            <w:tcW w:w="703" w:type="dxa"/>
          </w:tcPr>
          <w:p w:rsidR="00401596" w:rsidRPr="00A053D8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b/>
                <w:lang w:val="ro-RO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.</w:t>
            </w:r>
          </w:p>
        </w:tc>
        <w:tc>
          <w:tcPr>
            <w:tcW w:w="9293" w:type="dxa"/>
          </w:tcPr>
          <w:p w:rsidR="00401596" w:rsidRPr="00005B72" w:rsidRDefault="00401596" w:rsidP="00684656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A053D8">
              <w:rPr>
                <w:rFonts w:ascii="Times New Roman" w:eastAsia="Calibri" w:hAnsi="Times New Roman" w:cs="Times New Roman"/>
                <w:lang w:val="ro-RO"/>
              </w:rPr>
              <w:t>În cazul în care emitentul acțiunilor subiacente este o</w:t>
            </w:r>
            <w:r w:rsidRPr="00005B72">
              <w:rPr>
                <w:rFonts w:ascii="Times New Roman" w:eastAsia="Calibri" w:hAnsi="Times New Roman" w:cs="Times New Roman"/>
                <w:lang w:val="ro-RO"/>
              </w:rPr>
              <w:t xml:space="preserve"> entitate aparținând aceluiași grup, informațiile care trebuie furnizate în ceea ce îl privește sunt cele din documentul de înregistrare pentru acțiuni.</w:t>
            </w:r>
          </w:p>
        </w:tc>
      </w:tr>
    </w:tbl>
    <w:p w:rsidR="00BA4EDD" w:rsidRPr="00401596" w:rsidRDefault="00BA4EDD">
      <w:pPr>
        <w:rPr>
          <w:lang w:val="en-GB"/>
        </w:rPr>
      </w:pPr>
    </w:p>
    <w:sectPr w:rsidR="00BA4EDD" w:rsidRPr="00401596" w:rsidSect="00B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01596"/>
    <w:rsid w:val="00401596"/>
    <w:rsid w:val="00B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0159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596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40159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01596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40159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2018-05-21T13:16:00Z</dcterms:created>
  <dcterms:modified xsi:type="dcterms:W3CDTF">2018-05-21T13:17:00Z</dcterms:modified>
</cp:coreProperties>
</file>